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53" w:rsidRDefault="001D3E53" w:rsidP="001D3E53">
      <w:pPr>
        <w:ind w:hanging="567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28.04.17</w:t>
      </w: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ind w:left="-567" w:right="-330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Thank you for the letter </w:t>
      </w:r>
      <w:proofErr w:type="gramStart"/>
      <w:r>
        <w:rPr>
          <w:rFonts w:ascii="Arial" w:hAnsi="Arial" w:cs="Arial"/>
          <w:color w:val="1F497D"/>
          <w:sz w:val="24"/>
          <w:szCs w:val="24"/>
        </w:rPr>
        <w:t>in regard to</w:t>
      </w:r>
      <w:proofErr w:type="gramEnd"/>
      <w:r>
        <w:rPr>
          <w:rFonts w:ascii="Arial" w:hAnsi="Arial" w:cs="Arial"/>
          <w:color w:val="1F497D"/>
          <w:sz w:val="24"/>
          <w:szCs w:val="24"/>
        </w:rPr>
        <w:t xml:space="preserve"> chemical use in Buckfastleigh Parish.  I have advised my contractor and our cleansing departmen</w:t>
      </w:r>
      <w:r>
        <w:rPr>
          <w:rFonts w:ascii="Arial" w:hAnsi="Arial" w:cs="Arial"/>
          <w:color w:val="1F497D"/>
          <w:sz w:val="24"/>
          <w:szCs w:val="24"/>
        </w:rPr>
        <w:t xml:space="preserve">t of the Town Councils request to cease all </w:t>
      </w:r>
      <w:proofErr w:type="spellStart"/>
      <w:r>
        <w:rPr>
          <w:rFonts w:ascii="Arial" w:hAnsi="Arial" w:cs="Arial"/>
          <w:color w:val="1F497D"/>
          <w:sz w:val="24"/>
          <w:szCs w:val="24"/>
        </w:rPr>
        <w:t>glysophate</w:t>
      </w:r>
      <w:proofErr w:type="spellEnd"/>
      <w:r>
        <w:rPr>
          <w:rFonts w:ascii="Arial" w:hAnsi="Arial" w:cs="Arial"/>
          <w:color w:val="1F497D"/>
          <w:sz w:val="24"/>
          <w:szCs w:val="24"/>
        </w:rPr>
        <w:t> </w:t>
      </w:r>
      <w:r>
        <w:rPr>
          <w:rFonts w:ascii="Arial" w:hAnsi="Arial" w:cs="Arial"/>
          <w:color w:val="1F497D"/>
          <w:sz w:val="24"/>
          <w:szCs w:val="24"/>
        </w:rPr>
        <w:t>based chemical use in the parish of Buckfastleigh</w:t>
      </w: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ind w:hanging="567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Further to the request for a list of chemicals used.</w:t>
      </w: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numPr>
          <w:ilvl w:val="0"/>
          <w:numId w:val="1"/>
        </w:numPr>
        <w:rPr>
          <w:rFonts w:ascii="Arial" w:hAnsi="Arial" w:cs="Arial"/>
          <w:color w:val="1F497D"/>
          <w:sz w:val="24"/>
          <w:szCs w:val="24"/>
        </w:rPr>
      </w:pPr>
      <w:proofErr w:type="spellStart"/>
      <w:r>
        <w:rPr>
          <w:rFonts w:ascii="Arial" w:hAnsi="Arial" w:cs="Arial"/>
          <w:color w:val="1F497D"/>
          <w:sz w:val="24"/>
          <w:szCs w:val="24"/>
        </w:rPr>
        <w:t>Glysophate</w:t>
      </w:r>
      <w:proofErr w:type="spellEnd"/>
      <w:r>
        <w:rPr>
          <w:rFonts w:ascii="Arial" w:hAnsi="Arial" w:cs="Arial"/>
          <w:color w:val="1F497D"/>
          <w:sz w:val="24"/>
          <w:szCs w:val="24"/>
        </w:rPr>
        <w:t xml:space="preserve"> proactive                                                            </w:t>
      </w:r>
      <w:r>
        <w:rPr>
          <w:rFonts w:ascii="Arial" w:hAnsi="Arial" w:cs="Arial"/>
          <w:color w:val="1F497D"/>
          <w:sz w:val="24"/>
          <w:szCs w:val="24"/>
        </w:rPr>
        <w:t>                     </w:t>
      </w:r>
    </w:p>
    <w:p w:rsidR="001D3E53" w:rsidRDefault="001D3E53" w:rsidP="001D3E53">
      <w:pPr>
        <w:numPr>
          <w:ilvl w:val="0"/>
          <w:numId w:val="1"/>
        </w:numPr>
        <w:rPr>
          <w:rFonts w:ascii="Arial" w:hAnsi="Arial" w:cs="Arial"/>
          <w:color w:val="1F497D"/>
          <w:sz w:val="24"/>
          <w:szCs w:val="24"/>
        </w:rPr>
      </w:pPr>
      <w:proofErr w:type="spellStart"/>
      <w:r>
        <w:rPr>
          <w:rFonts w:ascii="Arial" w:hAnsi="Arial" w:cs="Arial"/>
          <w:color w:val="1F497D"/>
          <w:sz w:val="24"/>
          <w:szCs w:val="24"/>
        </w:rPr>
        <w:t>Geocel</w:t>
      </w:r>
      <w:proofErr w:type="spellEnd"/>
      <w:r>
        <w:rPr>
          <w:rFonts w:ascii="Arial" w:hAnsi="Arial" w:cs="Arial"/>
          <w:color w:val="1F497D"/>
          <w:sz w:val="24"/>
          <w:szCs w:val="24"/>
        </w:rPr>
        <w:t xml:space="preserve"> Geochem (</w:t>
      </w:r>
      <w:r>
        <w:rPr>
          <w:rFonts w:ascii="Arial" w:hAnsi="Arial" w:cs="Arial"/>
          <w:color w:val="1F497D"/>
          <w:sz w:val="24"/>
          <w:szCs w:val="24"/>
        </w:rPr>
        <w:t>moss and algae tre</w:t>
      </w:r>
      <w:r>
        <w:rPr>
          <w:rFonts w:ascii="Arial" w:hAnsi="Arial" w:cs="Arial"/>
          <w:color w:val="1F497D"/>
          <w:sz w:val="24"/>
          <w:szCs w:val="24"/>
        </w:rPr>
        <w:t xml:space="preserve">atment for hard surfaces) </w:t>
      </w:r>
      <w:r>
        <w:rPr>
          <w:rFonts w:ascii="Arial" w:hAnsi="Arial" w:cs="Arial"/>
          <w:color w:val="1F497D"/>
          <w:sz w:val="24"/>
          <w:szCs w:val="24"/>
        </w:rPr>
        <w:t xml:space="preserve">COSHH assessment attached                     </w:t>
      </w: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ind w:left="-567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No </w:t>
      </w:r>
      <w:r>
        <w:rPr>
          <w:rFonts w:ascii="Arial" w:hAnsi="Arial" w:cs="Arial"/>
          <w:b/>
          <w:bCs/>
          <w:color w:val="1F497D"/>
          <w:sz w:val="24"/>
          <w:szCs w:val="24"/>
          <w:u w:val="single"/>
        </w:rPr>
        <w:t>pesticides or Neonicotinoids  </w:t>
      </w:r>
      <w:r>
        <w:rPr>
          <w:rFonts w:ascii="Arial" w:hAnsi="Arial" w:cs="Arial"/>
          <w:color w:val="1F497D"/>
          <w:sz w:val="24"/>
          <w:szCs w:val="24"/>
        </w:rPr>
        <w:t> have been used by contract</w:t>
      </w:r>
      <w:r>
        <w:rPr>
          <w:rFonts w:ascii="Arial" w:hAnsi="Arial" w:cs="Arial"/>
          <w:color w:val="1F497D"/>
          <w:sz w:val="24"/>
          <w:szCs w:val="24"/>
        </w:rPr>
        <w:t>ors working for TDC as part of the current </w:t>
      </w:r>
      <w:r>
        <w:rPr>
          <w:rFonts w:ascii="Arial" w:hAnsi="Arial" w:cs="Arial"/>
          <w:color w:val="1F497D"/>
          <w:sz w:val="24"/>
          <w:szCs w:val="24"/>
        </w:rPr>
        <w:t xml:space="preserve">grounds </w:t>
      </w:r>
      <w:proofErr w:type="gramStart"/>
      <w:r>
        <w:rPr>
          <w:rFonts w:ascii="Arial" w:hAnsi="Arial" w:cs="Arial"/>
          <w:color w:val="1F497D"/>
          <w:sz w:val="24"/>
          <w:szCs w:val="24"/>
        </w:rPr>
        <w:t>maintenance  contract</w:t>
      </w:r>
      <w:proofErr w:type="gramEnd"/>
      <w:r>
        <w:rPr>
          <w:rFonts w:ascii="Arial" w:hAnsi="Arial" w:cs="Arial"/>
          <w:color w:val="1F497D"/>
          <w:sz w:val="24"/>
          <w:szCs w:val="24"/>
        </w:rPr>
        <w:t xml:space="preserve"> . </w:t>
      </w: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Alternatives to </w:t>
      </w:r>
      <w:proofErr w:type="spellStart"/>
      <w:r>
        <w:rPr>
          <w:rFonts w:ascii="Arial" w:hAnsi="Arial" w:cs="Arial"/>
          <w:color w:val="1F497D"/>
          <w:sz w:val="24"/>
          <w:szCs w:val="24"/>
        </w:rPr>
        <w:t>Glysophate</w:t>
      </w:r>
      <w:proofErr w:type="spellEnd"/>
      <w:r>
        <w:rPr>
          <w:rFonts w:ascii="Arial" w:hAnsi="Arial" w:cs="Arial"/>
          <w:color w:val="1F497D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931" w:tblpY="168"/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2926"/>
        <w:gridCol w:w="3951"/>
      </w:tblGrid>
      <w:tr w:rsidR="001D3E53" w:rsidTr="001D3E53"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Alternatives 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Pros </w:t>
            </w:r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Cons </w:t>
            </w:r>
          </w:p>
        </w:tc>
      </w:tr>
      <w:tr w:rsidR="001D3E53" w:rsidTr="001D3E53"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Foam stream treatment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No chemicals </w:t>
            </w: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or residue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Expensive </w:t>
            </w:r>
          </w:p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Labour intensive</w:t>
            </w:r>
          </w:p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Rarely eradicates weeds completely.</w:t>
            </w:r>
          </w:p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Need for constant applications   </w:t>
            </w:r>
          </w:p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</w:tc>
      </w:tr>
      <w:tr w:rsidR="001D3E53" w:rsidTr="001D3E53"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1F497D"/>
                <w:sz w:val="24"/>
                <w:szCs w:val="24"/>
              </w:rPr>
              <w:t>Horticultural  strength</w:t>
            </w:r>
            <w:proofErr w:type="gramEnd"/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 vinegar (60% stronger than household)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No chemicals or residue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Poor results, constant applications required  </w:t>
            </w:r>
          </w:p>
        </w:tc>
      </w:tr>
      <w:tr w:rsidR="001D3E53" w:rsidTr="001D3E53"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Manual hoeing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No chemicals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Labour intensive </w:t>
            </w:r>
          </w:p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Impossible to remove roots</w:t>
            </w:r>
          </w:p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Re- growth </w:t>
            </w:r>
          </w:p>
        </w:tc>
      </w:tr>
      <w:tr w:rsidR="001D3E53" w:rsidTr="001D3E53"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Flame weed control 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 No chemical or residue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Concerns over H&amp;S whilst being used </w:t>
            </w:r>
          </w:p>
          <w:p w:rsidR="001D3E53" w:rsidRDefault="001D3E53" w:rsidP="001D3E53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 xml:space="preserve">Risk of fire spreading if weather is very dry </w:t>
            </w:r>
          </w:p>
        </w:tc>
      </w:tr>
    </w:tbl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ind w:left="-567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I am consulting with our car parks and property departments over the use of chemicals as some treatments are required on surfaces f</w:t>
      </w:r>
      <w:r>
        <w:rPr>
          <w:rFonts w:ascii="Arial" w:hAnsi="Arial" w:cs="Arial"/>
          <w:color w:val="1F497D"/>
          <w:sz w:val="24"/>
          <w:szCs w:val="24"/>
        </w:rPr>
        <w:t xml:space="preserve">or health and safety reasons, </w:t>
      </w:r>
      <w:r>
        <w:rPr>
          <w:rFonts w:ascii="Arial" w:hAnsi="Arial" w:cs="Arial"/>
          <w:color w:val="1F497D"/>
          <w:sz w:val="24"/>
          <w:szCs w:val="24"/>
        </w:rPr>
        <w:t xml:space="preserve">the likelihood is that this treatment will continue. </w:t>
      </w: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ind w:left="-567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Lastly have local farmers and agricultural chemical users in the parish of Buckfastleigh been lobbied to cease applications as they are likely to be using much larger amounts of </w:t>
      </w:r>
      <w:proofErr w:type="spellStart"/>
      <w:r>
        <w:rPr>
          <w:rFonts w:ascii="Arial" w:hAnsi="Arial" w:cs="Arial"/>
          <w:color w:val="1F497D"/>
          <w:sz w:val="24"/>
          <w:szCs w:val="24"/>
        </w:rPr>
        <w:t>glysophate</w:t>
      </w:r>
      <w:proofErr w:type="spellEnd"/>
      <w:r>
        <w:rPr>
          <w:rFonts w:ascii="Arial" w:hAnsi="Arial" w:cs="Arial"/>
          <w:color w:val="1F497D"/>
          <w:sz w:val="24"/>
          <w:szCs w:val="24"/>
        </w:rPr>
        <w:t xml:space="preserve"> based chemical that the small amount used for the control of perennial weeds</w:t>
      </w:r>
      <w:r>
        <w:rPr>
          <w:rFonts w:ascii="Arial" w:hAnsi="Arial" w:cs="Arial"/>
          <w:color w:val="1F497D"/>
          <w:sz w:val="24"/>
          <w:szCs w:val="24"/>
        </w:rPr>
        <w:t xml:space="preserve"> on land owned by the authority</w:t>
      </w:r>
      <w:r>
        <w:rPr>
          <w:rFonts w:ascii="Arial" w:hAnsi="Arial" w:cs="Arial"/>
          <w:color w:val="1F497D"/>
          <w:sz w:val="24"/>
          <w:szCs w:val="24"/>
        </w:rPr>
        <w:t xml:space="preserve">. </w:t>
      </w: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ind w:left="-567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I hope this provides the information requested and should any aspects require more clarification please contact me directly. </w:t>
      </w: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ind w:hanging="567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>Many thanks</w:t>
      </w:r>
    </w:p>
    <w:p w:rsidR="001D3E53" w:rsidRDefault="001D3E53" w:rsidP="001D3E53">
      <w:pPr>
        <w:ind w:left="-567"/>
        <w:rPr>
          <w:rFonts w:ascii="Arial" w:hAnsi="Arial" w:cs="Arial"/>
          <w:color w:val="1F497D"/>
          <w:sz w:val="24"/>
          <w:szCs w:val="24"/>
        </w:rPr>
      </w:pPr>
      <w:r>
        <w:rPr>
          <w:rFonts w:ascii="Arial" w:hAnsi="Arial" w:cs="Arial"/>
          <w:color w:val="1F497D"/>
          <w:sz w:val="24"/>
          <w:szCs w:val="24"/>
        </w:rPr>
        <w:t xml:space="preserve">Kind regards </w:t>
      </w:r>
    </w:p>
    <w:p w:rsidR="001D3E53" w:rsidRDefault="001D3E53" w:rsidP="001D3E53">
      <w:pPr>
        <w:rPr>
          <w:rFonts w:ascii="Arial" w:hAnsi="Arial" w:cs="Arial"/>
          <w:color w:val="1F497D"/>
          <w:sz w:val="24"/>
          <w:szCs w:val="24"/>
        </w:rPr>
      </w:pPr>
    </w:p>
    <w:p w:rsidR="001D3E53" w:rsidRDefault="001D3E53" w:rsidP="001D3E53">
      <w:pPr>
        <w:ind w:right="-613" w:hanging="567"/>
        <w:rPr>
          <w:rFonts w:ascii="Arial" w:hAnsi="Arial" w:cs="Arial"/>
          <w:color w:val="1F497D"/>
          <w:sz w:val="24"/>
          <w:szCs w:val="24"/>
          <w:lang w:eastAsia="en-GB"/>
        </w:rPr>
      </w:pPr>
      <w:r>
        <w:rPr>
          <w:rFonts w:ascii="Arial" w:hAnsi="Arial" w:cs="Arial"/>
          <w:color w:val="1F497D"/>
          <w:sz w:val="24"/>
          <w:szCs w:val="24"/>
          <w:lang w:eastAsia="en-GB"/>
        </w:rPr>
        <w:t>Mark Payne</w:t>
      </w:r>
    </w:p>
    <w:p w:rsidR="001D3E53" w:rsidRDefault="001D3E53" w:rsidP="001D3E53">
      <w:pPr>
        <w:ind w:right="-613" w:hanging="567"/>
        <w:rPr>
          <w:color w:val="1F497D"/>
          <w:sz w:val="24"/>
          <w:szCs w:val="24"/>
          <w:lang w:eastAsia="en-GB"/>
        </w:rPr>
      </w:pPr>
      <w:r>
        <w:rPr>
          <w:rFonts w:ascii="Arial" w:hAnsi="Arial" w:cs="Arial"/>
          <w:color w:val="1F497D"/>
          <w:sz w:val="24"/>
          <w:szCs w:val="24"/>
          <w:lang w:eastAsia="en-GB"/>
        </w:rPr>
        <w:t xml:space="preserve">Grounds Maintenance Officer </w:t>
      </w:r>
    </w:p>
    <w:p w:rsidR="001D3E53" w:rsidRDefault="001D3E53" w:rsidP="001D3E53">
      <w:pPr>
        <w:ind w:hanging="567"/>
        <w:rPr>
          <w:color w:val="1F497D"/>
          <w:sz w:val="24"/>
          <w:szCs w:val="24"/>
          <w:lang w:eastAsia="en-GB"/>
        </w:rPr>
      </w:pPr>
      <w:r>
        <w:rPr>
          <w:rFonts w:ascii="Arial" w:hAnsi="Arial" w:cs="Arial"/>
          <w:color w:val="1F497D"/>
          <w:sz w:val="24"/>
          <w:szCs w:val="24"/>
          <w:lang w:eastAsia="en-GB"/>
        </w:rPr>
        <w:t xml:space="preserve">Environment &amp; Leisure </w:t>
      </w:r>
    </w:p>
    <w:p w:rsidR="001D3E53" w:rsidRDefault="001D3E53" w:rsidP="001D3E53">
      <w:pPr>
        <w:ind w:hanging="567"/>
        <w:rPr>
          <w:color w:val="1F497D"/>
          <w:sz w:val="24"/>
          <w:szCs w:val="24"/>
          <w:lang w:eastAsia="en-GB"/>
        </w:rPr>
      </w:pPr>
      <w:bookmarkStart w:id="0" w:name="_GoBack"/>
      <w:bookmarkEnd w:id="0"/>
      <w:r>
        <w:rPr>
          <w:rFonts w:ascii="Arial" w:hAnsi="Arial" w:cs="Arial"/>
          <w:color w:val="1F497D"/>
          <w:sz w:val="24"/>
          <w:szCs w:val="24"/>
          <w:lang w:eastAsia="en-GB"/>
        </w:rPr>
        <w:t xml:space="preserve">Teignbridge District Council </w:t>
      </w:r>
    </w:p>
    <w:p w:rsidR="002C38A5" w:rsidRDefault="001D3E53"/>
    <w:sectPr w:rsidR="002C38A5" w:rsidSect="001D3E53">
      <w:pgSz w:w="11906" w:h="16838"/>
      <w:pgMar w:top="426" w:right="144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904"/>
    <w:multiLevelType w:val="hybridMultilevel"/>
    <w:tmpl w:val="D3BA4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53"/>
    <w:rsid w:val="00102F4D"/>
    <w:rsid w:val="001D3E53"/>
    <w:rsid w:val="00392414"/>
    <w:rsid w:val="00477291"/>
    <w:rsid w:val="005556D1"/>
    <w:rsid w:val="00740F69"/>
    <w:rsid w:val="00A279F0"/>
    <w:rsid w:val="00D2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7430"/>
  <w15:chartTrackingRefBased/>
  <w15:docId w15:val="{9B559B86-2C3E-40B4-8B55-7ACAC4AE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3E5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Buckfastleigh</dc:creator>
  <cp:keywords/>
  <dc:description/>
  <cp:lastModifiedBy>Buckfastleigh</cp:lastModifiedBy>
  <cp:revision>1</cp:revision>
  <dcterms:created xsi:type="dcterms:W3CDTF">2017-04-28T14:36:00Z</dcterms:created>
  <dcterms:modified xsi:type="dcterms:W3CDTF">2017-04-28T14:44:00Z</dcterms:modified>
</cp:coreProperties>
</file>